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wordWrap/>
        <w:topLinePunct w:val="0"/>
        <w:bidi w:val="0"/>
        <w:spacing w:line="560" w:lineRule="exact"/>
        <w:jc w:val="center"/>
        <w:textAlignment w:val="auto"/>
        <w:rPr>
          <w:rFonts w:ascii="Times New Roman" w:hAnsi="Times New Roman" w:eastAsia="方正小标宋简体"/>
          <w:bCs/>
          <w:color w:val="auto"/>
          <w:sz w:val="44"/>
          <w:szCs w:val="44"/>
        </w:rPr>
      </w:pPr>
    </w:p>
    <w:p>
      <w:pPr>
        <w:keepNext w:val="0"/>
        <w:keepLines w:val="0"/>
        <w:pageBreakBefore w:val="0"/>
        <w:widowControl w:val="0"/>
        <w:wordWrap/>
        <w:topLinePunct w:val="0"/>
        <w:bidi w:val="0"/>
        <w:spacing w:line="560" w:lineRule="exact"/>
        <w:jc w:val="center"/>
        <w:textAlignment w:val="auto"/>
        <w:rPr>
          <w:rFonts w:ascii="Times New Roman" w:hAnsi="Times New Roman" w:eastAsia="方正小标宋简体"/>
          <w:bCs/>
          <w:color w:val="auto"/>
          <w:sz w:val="44"/>
          <w:szCs w:val="44"/>
        </w:rPr>
      </w:pPr>
    </w:p>
    <w:p>
      <w:pPr>
        <w:keepNext w:val="0"/>
        <w:keepLines w:val="0"/>
        <w:pageBreakBefore w:val="0"/>
        <w:widowControl w:val="0"/>
        <w:wordWrap/>
        <w:topLinePunct w:val="0"/>
        <w:bidi w:val="0"/>
        <w:spacing w:line="560" w:lineRule="exact"/>
        <w:jc w:val="center"/>
        <w:textAlignment w:val="auto"/>
        <w:rPr>
          <w:rFonts w:ascii="Times New Roman" w:hAnsi="Times New Roman" w:eastAsia="方正小标宋简体"/>
          <w:bCs/>
          <w:color w:val="auto"/>
          <w:sz w:val="44"/>
          <w:szCs w:val="44"/>
        </w:rPr>
      </w:pPr>
    </w:p>
    <w:p>
      <w:pPr>
        <w:keepNext w:val="0"/>
        <w:keepLines w:val="0"/>
        <w:pageBreakBefore w:val="0"/>
        <w:widowControl w:val="0"/>
        <w:wordWrap/>
        <w:topLinePunct w:val="0"/>
        <w:bidi w:val="0"/>
        <w:spacing w:line="560" w:lineRule="exact"/>
        <w:jc w:val="center"/>
        <w:textAlignment w:val="auto"/>
        <w:rPr>
          <w:rFonts w:ascii="Times New Roman" w:hAnsi="Times New Roman" w:eastAsia="方正小标宋简体"/>
          <w:bCs/>
          <w:color w:val="auto"/>
          <w:sz w:val="44"/>
          <w:szCs w:val="44"/>
        </w:rPr>
      </w:pPr>
    </w:p>
    <w:p>
      <w:pPr>
        <w:keepNext w:val="0"/>
        <w:keepLines w:val="0"/>
        <w:pageBreakBefore w:val="0"/>
        <w:widowControl w:val="0"/>
        <w:wordWrap/>
        <w:topLinePunct w:val="0"/>
        <w:bidi w:val="0"/>
        <w:spacing w:line="560" w:lineRule="exact"/>
        <w:jc w:val="center"/>
        <w:textAlignment w:val="auto"/>
        <w:rPr>
          <w:rFonts w:hint="eastAsia" w:ascii="仿宋_GB2312" w:hAnsi="仿宋_GB2312" w:eastAsia="仿宋_GB2312" w:cs="仿宋_GB2312"/>
          <w:bCs/>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bCs/>
          <w:color w:val="auto"/>
          <w:sz w:val="32"/>
          <w:szCs w:val="32"/>
          <w:lang w:val="en-US" w:eastAsia="zh-CN"/>
        </w:rPr>
      </w:pPr>
    </w:p>
    <w:p>
      <w:pPr>
        <w:keepNext w:val="0"/>
        <w:keepLines w:val="0"/>
        <w:pageBreakBefore w:val="0"/>
        <w:widowControl w:val="0"/>
        <w:wordWrap/>
        <w:topLinePunct w:val="0"/>
        <w:bidi w:val="0"/>
        <w:spacing w:line="560" w:lineRule="exact"/>
        <w:jc w:val="center"/>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滕政字〔2024〕21号</w:t>
      </w:r>
    </w:p>
    <w:p>
      <w:pPr>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eastAsia" w:ascii="仿宋_GB2312" w:hAnsi="仿宋_GB2312" w:eastAsia="仿宋_GB2312" w:cs="仿宋_GB2312"/>
          <w:bCs/>
          <w:color w:val="auto"/>
          <w:sz w:val="32"/>
          <w:szCs w:val="32"/>
          <w:lang w:val="en-US" w:eastAsia="zh-CN"/>
        </w:rPr>
      </w:pPr>
    </w:p>
    <w:p>
      <w:pPr>
        <w:keepNext w:val="0"/>
        <w:keepLines w:val="0"/>
        <w:pageBreakBefore w:val="0"/>
        <w:widowControl w:val="0"/>
        <w:kinsoku/>
        <w:wordWrap/>
        <w:topLinePunct w:val="0"/>
        <w:bidi w:val="0"/>
        <w:spacing w:line="600" w:lineRule="exact"/>
        <w:jc w:val="center"/>
        <w:textAlignment w:val="auto"/>
        <w:rPr>
          <w:rFonts w:hint="default" w:ascii="Times New Roman" w:hAnsi="Times New Roman" w:eastAsia="方正小标宋简体"/>
          <w:bCs/>
          <w:color w:val="auto"/>
          <w:sz w:val="44"/>
          <w:szCs w:val="44"/>
          <w:lang w:val="en-US" w:eastAsia="zh-CN"/>
        </w:rPr>
      </w:pPr>
      <w:r>
        <w:rPr>
          <w:rFonts w:hint="eastAsia" w:ascii="Times New Roman" w:hAnsi="Times New Roman" w:eastAsia="方正小标宋简体"/>
          <w:bCs/>
          <w:color w:val="auto"/>
          <w:sz w:val="44"/>
          <w:szCs w:val="44"/>
          <w:lang w:val="en-US" w:eastAsia="zh-CN"/>
        </w:rPr>
        <w:t>滕州市人民政府</w:t>
      </w:r>
    </w:p>
    <w:p>
      <w:pPr>
        <w:keepNext w:val="0"/>
        <w:keepLines w:val="0"/>
        <w:pageBreakBefore w:val="0"/>
        <w:widowControl w:val="0"/>
        <w:kinsoku/>
        <w:wordWrap/>
        <w:topLinePunct w:val="0"/>
        <w:bidi w:val="0"/>
        <w:spacing w:line="600" w:lineRule="exact"/>
        <w:jc w:val="center"/>
        <w:textAlignment w:val="auto"/>
        <w:rPr>
          <w:rFonts w:hint="eastAsia" w:ascii="Times New Roman" w:hAnsi="Times New Roman" w:eastAsia="方正小标宋简体"/>
          <w:bCs/>
          <w:color w:val="auto"/>
          <w:sz w:val="44"/>
          <w:szCs w:val="44"/>
          <w:lang w:eastAsia="zh-CN"/>
        </w:rPr>
      </w:pPr>
      <w:r>
        <w:rPr>
          <w:rFonts w:ascii="Times New Roman" w:hAnsi="Times New Roman" w:eastAsia="方正小标宋简体"/>
          <w:bCs/>
          <w:color w:val="auto"/>
          <w:sz w:val="44"/>
          <w:szCs w:val="44"/>
        </w:rPr>
        <w:t>关于</w:t>
      </w:r>
      <w:r>
        <w:rPr>
          <w:rFonts w:hint="eastAsia" w:ascii="Times New Roman" w:hAnsi="Times New Roman" w:eastAsia="方正小标宋简体"/>
          <w:bCs/>
          <w:color w:val="auto"/>
          <w:sz w:val="44"/>
          <w:szCs w:val="44"/>
          <w:lang w:val="en-US" w:eastAsia="zh-CN"/>
        </w:rPr>
        <w:t>同意</w:t>
      </w:r>
      <w:r>
        <w:rPr>
          <w:rFonts w:hint="eastAsia" w:ascii="Times New Roman" w:hAnsi="Times New Roman" w:eastAsia="方正小标宋简体"/>
          <w:bCs/>
          <w:color w:val="auto"/>
          <w:sz w:val="44"/>
          <w:szCs w:val="44"/>
          <w:lang w:eastAsia="zh-CN"/>
        </w:rPr>
        <w:t>《滕州市烈士纪念设施保护范围</w:t>
      </w:r>
    </w:p>
    <w:p>
      <w:pPr>
        <w:keepNext w:val="0"/>
        <w:keepLines w:val="0"/>
        <w:pageBreakBefore w:val="0"/>
        <w:widowControl w:val="0"/>
        <w:kinsoku/>
        <w:wordWrap/>
        <w:topLinePunct w:val="0"/>
        <w:bidi w:val="0"/>
        <w:spacing w:line="600" w:lineRule="exact"/>
        <w:jc w:val="center"/>
        <w:textAlignment w:val="auto"/>
        <w:rPr>
          <w:rFonts w:hint="eastAsia" w:ascii="Times New Roman" w:hAnsi="Times New Roman" w:eastAsia="方正小标宋简体"/>
          <w:bCs/>
          <w:color w:val="auto"/>
          <w:sz w:val="44"/>
          <w:szCs w:val="44"/>
          <w:lang w:eastAsia="zh-CN"/>
        </w:rPr>
      </w:pPr>
      <w:r>
        <w:rPr>
          <w:rFonts w:hint="eastAsia" w:ascii="Times New Roman" w:hAnsi="Times New Roman" w:eastAsia="方正小标宋简体"/>
          <w:bCs/>
          <w:color w:val="auto"/>
          <w:sz w:val="44"/>
          <w:szCs w:val="44"/>
          <w:lang w:eastAsia="zh-CN"/>
        </w:rPr>
        <w:t>划定方案》</w:t>
      </w:r>
      <w:r>
        <w:rPr>
          <w:rFonts w:ascii="Times New Roman" w:hAnsi="Times New Roman" w:eastAsia="方正小标宋简体"/>
          <w:bCs/>
          <w:color w:val="auto"/>
          <w:sz w:val="44"/>
          <w:szCs w:val="44"/>
        </w:rPr>
        <w:t>的</w:t>
      </w:r>
      <w:r>
        <w:rPr>
          <w:rFonts w:hint="eastAsia" w:ascii="Times New Roman" w:hAnsi="Times New Roman" w:eastAsia="方正小标宋简体"/>
          <w:bCs/>
          <w:color w:val="auto"/>
          <w:sz w:val="44"/>
          <w:szCs w:val="44"/>
          <w:lang w:eastAsia="zh-CN"/>
        </w:rPr>
        <w:t>批复</w:t>
      </w:r>
    </w:p>
    <w:p>
      <w:pPr>
        <w:keepNext w:val="0"/>
        <w:keepLines w:val="0"/>
        <w:pageBreakBefore w:val="0"/>
        <w:widowControl w:val="0"/>
        <w:kinsoku/>
        <w:wordWrap/>
        <w:topLinePunct w:val="0"/>
        <w:bidi w:val="0"/>
        <w:spacing w:line="600" w:lineRule="exact"/>
        <w:textAlignment w:val="auto"/>
        <w:rPr>
          <w:rFonts w:hint="eastAsia" w:ascii="Times New Roman" w:hAnsi="仿宋_GB2312" w:eastAsia="仿宋_GB2312"/>
          <w:bCs/>
          <w:color w:val="auto"/>
          <w:sz w:val="32"/>
          <w:szCs w:val="32"/>
          <w:lang w:eastAsia="zh-CN"/>
        </w:rPr>
      </w:pPr>
    </w:p>
    <w:p>
      <w:pPr>
        <w:keepNext w:val="0"/>
        <w:keepLines w:val="0"/>
        <w:pageBreakBefore w:val="0"/>
        <w:widowControl w:val="0"/>
        <w:kinsoku/>
        <w:wordWrap/>
        <w:topLinePunct w:val="0"/>
        <w:bidi w:val="0"/>
        <w:spacing w:line="600" w:lineRule="exact"/>
        <w:textAlignment w:val="auto"/>
        <w:rPr>
          <w:rFonts w:ascii="Times New Roman" w:hAnsi="Times New Roman" w:eastAsia="仿宋_GB2312"/>
          <w:bCs/>
          <w:color w:val="auto"/>
          <w:sz w:val="32"/>
          <w:szCs w:val="32"/>
        </w:rPr>
      </w:pPr>
      <w:r>
        <w:rPr>
          <w:rFonts w:hint="eastAsia" w:ascii="Times New Roman" w:hAnsi="仿宋_GB2312" w:eastAsia="仿宋_GB2312"/>
          <w:bCs/>
          <w:color w:val="auto"/>
          <w:sz w:val="32"/>
          <w:szCs w:val="32"/>
          <w:lang w:eastAsia="zh-CN"/>
        </w:rPr>
        <w:t>市退役军人</w:t>
      </w:r>
      <w:r>
        <w:rPr>
          <w:rFonts w:hint="eastAsia" w:ascii="Times New Roman" w:hAnsi="仿宋_GB2312" w:eastAsia="仿宋_GB2312"/>
          <w:bCs/>
          <w:color w:val="auto"/>
          <w:sz w:val="32"/>
          <w:szCs w:val="32"/>
          <w:lang w:val="en-US" w:eastAsia="zh-CN"/>
        </w:rPr>
        <w:t>事务</w:t>
      </w:r>
      <w:r>
        <w:rPr>
          <w:rFonts w:hint="eastAsia" w:ascii="Times New Roman" w:hAnsi="仿宋_GB2312" w:eastAsia="仿宋_GB2312"/>
          <w:bCs/>
          <w:color w:val="auto"/>
          <w:sz w:val="32"/>
          <w:szCs w:val="32"/>
          <w:lang w:eastAsia="zh-CN"/>
        </w:rPr>
        <w:t>局</w:t>
      </w:r>
      <w:r>
        <w:rPr>
          <w:rFonts w:ascii="Times New Roman" w:hAnsi="仿宋_GB2312" w:eastAsia="仿宋_GB2312"/>
          <w:bCs/>
          <w:color w:val="auto"/>
          <w:sz w:val="32"/>
          <w:szCs w:val="32"/>
        </w:rPr>
        <w:t>：</w:t>
      </w:r>
    </w:p>
    <w:p>
      <w:pPr>
        <w:keepNext w:val="0"/>
        <w:keepLines w:val="0"/>
        <w:pageBreakBefore w:val="0"/>
        <w:widowControl w:val="0"/>
        <w:kinsoku/>
        <w:wordWrap/>
        <w:overflowPunct w:val="0"/>
        <w:topLinePunct w:val="0"/>
        <w:autoSpaceDE w:val="0"/>
        <w:autoSpaceDN w:val="0"/>
        <w:bidi w:val="0"/>
        <w:adjustRightInd w:val="0"/>
        <w:snapToGrid/>
        <w:spacing w:line="600" w:lineRule="exact"/>
        <w:ind w:firstLine="640" w:firstLineChars="200"/>
        <w:textAlignment w:val="auto"/>
        <w:rPr>
          <w:rFonts w:hint="eastAsia" w:ascii="Times New Roman" w:hAnsi="Times New Roman" w:eastAsia="仿宋_GB2312" w:cs="Calibri"/>
          <w:color w:val="auto"/>
          <w:sz w:val="32"/>
          <w:szCs w:val="32"/>
          <w:lang w:val="en-US" w:eastAsia="zh-CN" w:bidi="ar-SA"/>
        </w:rPr>
      </w:pPr>
      <w:r>
        <w:rPr>
          <w:rFonts w:hint="eastAsia" w:ascii="Times New Roman" w:hAnsi="Times New Roman" w:eastAsia="仿宋_GB2312" w:cs="Calibri"/>
          <w:color w:val="auto"/>
          <w:sz w:val="32"/>
          <w:szCs w:val="32"/>
          <w:lang w:val="en-US" w:eastAsia="zh-CN" w:bidi="ar-SA"/>
        </w:rPr>
        <w:t>你局《关于滕州市烈士纪念设施保护范围划定》的请示，（</w:t>
      </w:r>
      <w:r>
        <w:rPr>
          <w:rFonts w:hint="eastAsia" w:ascii="仿宋_GB2312" w:hAnsi="仿宋_GB2312" w:eastAsia="仿宋_GB2312" w:cs="仿宋_GB2312"/>
          <w:color w:val="auto"/>
          <w:sz w:val="32"/>
          <w:szCs w:val="32"/>
          <w:lang w:val="en-US" w:eastAsia="zh-CN"/>
        </w:rPr>
        <w:t>滕</w:t>
      </w:r>
      <w:r>
        <w:rPr>
          <w:rFonts w:hint="eastAsia" w:ascii="仿宋_GB2312" w:hAnsi="仿宋_GB2312" w:eastAsia="仿宋_GB2312" w:cs="仿宋_GB2312"/>
          <w:color w:val="auto"/>
          <w:sz w:val="32"/>
          <w:szCs w:val="32"/>
        </w:rPr>
        <w:t>退役军人</w:t>
      </w:r>
      <w:r>
        <w:rPr>
          <w:rFonts w:hint="eastAsia" w:ascii="仿宋_GB2312" w:hAnsi="仿宋_GB2312" w:eastAsia="仿宋_GB2312" w:cs="仿宋_GB2312"/>
          <w:color w:val="auto"/>
          <w:sz w:val="32"/>
          <w:szCs w:val="32"/>
          <w:lang w:eastAsia="zh-CN"/>
        </w:rPr>
        <w:t>发</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rPr>
        <w:t>4〕</w:t>
      </w:r>
      <w:r>
        <w:rPr>
          <w:rFonts w:hint="eastAsia" w:ascii="仿宋_GB2312" w:hAnsi="仿宋_GB2312" w:eastAsia="仿宋_GB2312" w:cs="仿宋_GB2312"/>
          <w:color w:val="auto"/>
          <w:sz w:val="32"/>
          <w:szCs w:val="32"/>
          <w:lang w:val="en-US" w:eastAsia="zh-CN"/>
        </w:rPr>
        <w:t>31</w:t>
      </w:r>
      <w:r>
        <w:rPr>
          <w:rFonts w:hint="eastAsia" w:ascii="仿宋_GB2312" w:hAnsi="仿宋_GB2312" w:eastAsia="仿宋_GB2312" w:cs="仿宋_GB2312"/>
          <w:color w:val="auto"/>
          <w:sz w:val="32"/>
          <w:szCs w:val="32"/>
        </w:rPr>
        <w:t>号</w:t>
      </w:r>
      <w:r>
        <w:rPr>
          <w:rFonts w:hint="eastAsia" w:ascii="Times New Roman" w:hAnsi="Times New Roman" w:eastAsia="仿宋_GB2312" w:cs="Calibri"/>
          <w:color w:val="auto"/>
          <w:sz w:val="32"/>
          <w:szCs w:val="32"/>
          <w:lang w:val="en-US" w:eastAsia="zh-CN" w:bidi="ar-SA"/>
        </w:rPr>
        <w:t>）收悉，根据《中华人民共和国英雄烈士保护法》《烈士褒扬条例》《烈士纪念设施保护管理办法》有关规定，现批复如下：</w:t>
      </w:r>
    </w:p>
    <w:p>
      <w:pPr>
        <w:keepNext w:val="0"/>
        <w:keepLines w:val="0"/>
        <w:pageBreakBefore w:val="0"/>
        <w:widowControl w:val="0"/>
        <w:kinsoku/>
        <w:wordWrap/>
        <w:overflowPunct w:val="0"/>
        <w:topLinePunct w:val="0"/>
        <w:autoSpaceDE w:val="0"/>
        <w:autoSpaceDN w:val="0"/>
        <w:bidi w:val="0"/>
        <w:adjustRightInd w:val="0"/>
        <w:snapToGrid/>
        <w:spacing w:line="600" w:lineRule="exact"/>
        <w:ind w:firstLine="640" w:firstLineChars="200"/>
        <w:textAlignment w:val="auto"/>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lang w:val="en-US" w:eastAsia="zh-CN"/>
        </w:rPr>
        <w:t>一、</w:t>
      </w:r>
      <w:r>
        <w:rPr>
          <w:rFonts w:hint="eastAsia" w:ascii="仿宋_GB2312" w:hAnsi="宋体" w:eastAsia="仿宋_GB2312" w:cs="宋体"/>
          <w:color w:val="auto"/>
          <w:sz w:val="32"/>
          <w:szCs w:val="32"/>
          <w:highlight w:val="none"/>
        </w:rPr>
        <w:t>同意滕州市烈士陵园保护范围，</w:t>
      </w:r>
      <w:r>
        <w:rPr>
          <w:rFonts w:hint="eastAsia" w:ascii="仿宋_GB2312" w:hAnsi="宋体" w:eastAsia="仿宋_GB2312" w:cs="宋体"/>
          <w:color w:val="auto"/>
          <w:sz w:val="32"/>
          <w:szCs w:val="32"/>
          <w:highlight w:val="none"/>
          <w:lang w:val="en-US" w:eastAsia="zh-CN"/>
        </w:rPr>
        <w:t>市烈士</w:t>
      </w:r>
      <w:r>
        <w:rPr>
          <w:rFonts w:hint="eastAsia" w:ascii="Times New Roman" w:hAnsi="Times New Roman" w:eastAsia="仿宋_GB2312" w:cs="Calibri"/>
          <w:color w:val="auto"/>
          <w:sz w:val="32"/>
          <w:szCs w:val="32"/>
          <w:lang w:val="en-US" w:eastAsia="zh-CN" w:bidi="ar-SA"/>
        </w:rPr>
        <w:t>陵园保护范围以《滕州市烈士陵园烈士纪念设施</w:t>
      </w:r>
      <w:r>
        <w:rPr>
          <w:rFonts w:hint="eastAsia" w:ascii="仿宋_GB2312" w:eastAsia="仿宋_GB2312"/>
          <w:color w:val="auto"/>
          <w:sz w:val="32"/>
          <w:szCs w:val="32"/>
          <w:lang w:val="en-US" w:eastAsia="zh-CN"/>
        </w:rPr>
        <w:t>保护范围</w:t>
      </w:r>
      <w:r>
        <w:rPr>
          <w:rFonts w:hint="eastAsia" w:ascii="仿宋_GB2312" w:eastAsia="仿宋_GB2312"/>
          <w:color w:val="auto"/>
          <w:sz w:val="32"/>
          <w:szCs w:val="32"/>
        </w:rPr>
        <w:t>勘测定界图</w:t>
      </w:r>
      <w:r>
        <w:rPr>
          <w:rFonts w:hint="eastAsia" w:ascii="Times New Roman" w:hAnsi="Times New Roman" w:eastAsia="仿宋_GB2312" w:cs="Calibri"/>
          <w:color w:val="auto"/>
          <w:sz w:val="32"/>
          <w:szCs w:val="32"/>
          <w:lang w:val="en-US" w:eastAsia="zh-CN" w:bidi="ar-SA"/>
        </w:rPr>
        <w:t>》红线基准为界，</w:t>
      </w:r>
      <w:r>
        <w:rPr>
          <w:rFonts w:hint="eastAsia" w:ascii="仿宋_GB2312" w:eastAsia="仿宋_GB2312"/>
          <w:color w:val="auto"/>
          <w:sz w:val="32"/>
          <w:szCs w:val="32"/>
        </w:rPr>
        <w:t>东至</w:t>
      </w:r>
      <w:r>
        <w:rPr>
          <w:rFonts w:hint="eastAsia" w:ascii="仿宋_GB2312" w:eastAsia="仿宋_GB2312"/>
          <w:color w:val="auto"/>
          <w:sz w:val="32"/>
          <w:szCs w:val="32"/>
          <w:lang w:eastAsia="zh-CN"/>
        </w:rPr>
        <w:t>英烈园环山水泥路东</w:t>
      </w:r>
      <w:r>
        <w:rPr>
          <w:rFonts w:hint="eastAsia" w:ascii="仿宋_GB2312" w:eastAsia="仿宋_GB2312"/>
          <w:color w:val="auto"/>
          <w:sz w:val="32"/>
          <w:szCs w:val="32"/>
          <w:lang w:val="en-US" w:eastAsia="zh-CN"/>
        </w:rPr>
        <w:t>沿</w:t>
      </w:r>
      <w:r>
        <w:rPr>
          <w:rFonts w:hint="eastAsia" w:ascii="仿宋_GB2312" w:eastAsia="仿宋_GB2312"/>
          <w:color w:val="auto"/>
          <w:sz w:val="32"/>
          <w:szCs w:val="32"/>
          <w:lang w:eastAsia="zh-CN"/>
        </w:rPr>
        <w:t>，</w:t>
      </w:r>
      <w:r>
        <w:rPr>
          <w:rFonts w:hint="eastAsia" w:ascii="仿宋_GB2312" w:eastAsia="仿宋_GB2312"/>
          <w:color w:val="auto"/>
          <w:sz w:val="32"/>
          <w:szCs w:val="32"/>
        </w:rPr>
        <w:t>西至</w:t>
      </w:r>
      <w:r>
        <w:rPr>
          <w:rFonts w:hint="eastAsia" w:ascii="仿宋_GB2312" w:eastAsia="仿宋_GB2312"/>
          <w:color w:val="auto"/>
          <w:sz w:val="32"/>
          <w:szCs w:val="32"/>
          <w:lang w:eastAsia="zh-CN"/>
        </w:rPr>
        <w:t>西墓区环</w:t>
      </w:r>
      <w:r>
        <w:rPr>
          <w:rFonts w:hint="eastAsia" w:ascii="仿宋_GB2312" w:eastAsia="仿宋_GB2312"/>
          <w:color w:val="auto"/>
          <w:sz w:val="32"/>
          <w:szCs w:val="32"/>
        </w:rPr>
        <w:t>山路</w:t>
      </w:r>
      <w:r>
        <w:rPr>
          <w:rFonts w:hint="eastAsia" w:ascii="仿宋_GB2312" w:eastAsia="仿宋_GB2312"/>
          <w:color w:val="auto"/>
          <w:sz w:val="32"/>
          <w:szCs w:val="32"/>
          <w:lang w:val="en-US" w:eastAsia="zh-CN"/>
        </w:rPr>
        <w:t>东沿</w:t>
      </w:r>
      <w:r>
        <w:rPr>
          <w:rFonts w:hint="eastAsia" w:ascii="仿宋_GB2312" w:eastAsia="仿宋_GB2312"/>
          <w:color w:val="auto"/>
          <w:sz w:val="32"/>
          <w:szCs w:val="32"/>
        </w:rPr>
        <w:t>，南至</w:t>
      </w:r>
      <w:r>
        <w:rPr>
          <w:rFonts w:hint="eastAsia" w:ascii="仿宋_GB2312" w:eastAsia="仿宋_GB2312"/>
          <w:color w:val="auto"/>
          <w:sz w:val="32"/>
          <w:szCs w:val="32"/>
          <w:lang w:eastAsia="zh-CN"/>
        </w:rPr>
        <w:t>英烈文化墙南沿、纪念馆</w:t>
      </w:r>
      <w:r>
        <w:rPr>
          <w:rFonts w:hint="eastAsia" w:ascii="仿宋_GB2312" w:eastAsia="仿宋_GB2312"/>
          <w:color w:val="auto"/>
          <w:sz w:val="32"/>
          <w:szCs w:val="32"/>
          <w:lang w:val="en-US" w:eastAsia="zh-CN"/>
        </w:rPr>
        <w:t>北沿</w:t>
      </w:r>
      <w:r>
        <w:rPr>
          <w:rFonts w:hint="eastAsia" w:ascii="仿宋_GB2312" w:eastAsia="仿宋_GB2312"/>
          <w:color w:val="auto"/>
          <w:sz w:val="32"/>
          <w:szCs w:val="32"/>
        </w:rPr>
        <w:t>，北至</w:t>
      </w:r>
      <w:r>
        <w:rPr>
          <w:rFonts w:hint="eastAsia" w:ascii="仿宋_GB2312" w:eastAsia="仿宋_GB2312"/>
          <w:color w:val="auto"/>
          <w:sz w:val="32"/>
          <w:szCs w:val="32"/>
          <w:lang w:val="en-US" w:eastAsia="zh-CN"/>
        </w:rPr>
        <w:t>纪念碑北侧消防路，</w:t>
      </w:r>
      <w:r>
        <w:rPr>
          <w:rFonts w:hint="eastAsia" w:ascii="Times New Roman" w:hAnsi="Times New Roman" w:eastAsia="仿宋_GB2312" w:cs="Calibri"/>
          <w:color w:val="auto"/>
          <w:sz w:val="32"/>
          <w:szCs w:val="32"/>
          <w:highlight w:val="none"/>
          <w:lang w:val="en-US" w:eastAsia="zh-CN" w:bidi="ar-SA"/>
        </w:rPr>
        <w:t>保护范围</w:t>
      </w:r>
      <w:r>
        <w:rPr>
          <w:rFonts w:hint="eastAsia" w:ascii="仿宋_GB2312" w:hAnsi="宋体" w:eastAsia="仿宋_GB2312" w:cs="宋体"/>
          <w:color w:val="auto"/>
          <w:sz w:val="32"/>
          <w:szCs w:val="32"/>
          <w:highlight w:val="none"/>
        </w:rPr>
        <w:t>总面积</w:t>
      </w:r>
      <w:r>
        <w:rPr>
          <w:rFonts w:hint="eastAsia" w:ascii="仿宋_GB2312" w:hAnsi="宋体" w:eastAsia="仿宋_GB2312" w:cs="宋体"/>
          <w:color w:val="auto"/>
          <w:sz w:val="32"/>
          <w:szCs w:val="32"/>
          <w:highlight w:val="none"/>
          <w:lang w:val="en-US" w:eastAsia="zh-CN"/>
        </w:rPr>
        <w:t>45057</w:t>
      </w:r>
      <w:r>
        <w:rPr>
          <w:rFonts w:hint="eastAsia" w:ascii="仿宋_GB2312" w:eastAsia="仿宋_GB2312"/>
          <w:color w:val="auto"/>
          <w:sz w:val="32"/>
          <w:szCs w:val="32"/>
          <w:lang w:val="en-US" w:eastAsia="zh-CN"/>
        </w:rPr>
        <w:t>平方米</w:t>
      </w:r>
      <w:r>
        <w:rPr>
          <w:rFonts w:hint="eastAsia" w:ascii="仿宋_GB2312" w:hAnsi="宋体" w:eastAsia="仿宋_GB2312" w:cs="宋体"/>
          <w:color w:val="auto"/>
          <w:sz w:val="32"/>
          <w:szCs w:val="32"/>
          <w:highlight w:val="none"/>
        </w:rPr>
        <w:t>。</w:t>
      </w:r>
    </w:p>
    <w:p>
      <w:pPr>
        <w:pStyle w:val="4"/>
        <w:keepNext w:val="0"/>
        <w:keepLines w:val="0"/>
        <w:pageBreakBefore w:val="0"/>
        <w:widowControl w:val="0"/>
        <w:kinsoku/>
        <w:wordWrap/>
        <w:overflowPunct w:val="0"/>
        <w:topLinePunct w:val="0"/>
        <w:autoSpaceDE w:val="0"/>
        <w:autoSpaceDN w:val="0"/>
        <w:bidi w:val="0"/>
        <w:adjustRightInd w:val="0"/>
        <w:snapToGrid w:val="0"/>
        <w:spacing w:beforeAutospacing="0" w:line="600" w:lineRule="exact"/>
        <w:ind w:firstLine="640" w:firstLineChars="200"/>
        <w:textAlignment w:val="auto"/>
        <w:rPr>
          <w:rFonts w:hint="eastAsia" w:ascii="仿宋_GB2312" w:hAnsi="宋体" w:eastAsia="仿宋_GB2312" w:cs="宋体"/>
          <w:color w:val="auto"/>
          <w:sz w:val="32"/>
          <w:szCs w:val="32"/>
          <w:highlight w:val="none"/>
          <w:lang w:val="en-US" w:eastAsia="zh-CN"/>
        </w:rPr>
      </w:pPr>
      <w:r>
        <w:rPr>
          <w:rFonts w:hint="eastAsia" w:ascii="Times New Roman" w:hAnsi="Times New Roman" w:eastAsia="仿宋_GB2312" w:cs="Calibri"/>
          <w:color w:val="auto"/>
          <w:sz w:val="32"/>
          <w:szCs w:val="32"/>
          <w:highlight w:val="none"/>
          <w:lang w:val="en-US" w:eastAsia="zh-CN" w:bidi="ar-SA"/>
        </w:rPr>
        <w:t>二、同意柴胡店镇烈士陵园保护范围，</w:t>
      </w:r>
      <w:r>
        <w:rPr>
          <w:rFonts w:hint="eastAsia" w:ascii="仿宋_GB2312" w:eastAsia="仿宋_GB2312"/>
          <w:sz w:val="32"/>
          <w:szCs w:val="32"/>
          <w:lang w:val="en-US" w:eastAsia="zh-CN"/>
        </w:rPr>
        <w:t>柴胡店镇烈士陵园保护范围</w:t>
      </w:r>
      <w:r>
        <w:rPr>
          <w:rFonts w:hint="eastAsia" w:ascii="Times New Roman" w:hAnsi="Times New Roman" w:eastAsia="仿宋_GB2312" w:cs="Calibri"/>
          <w:color w:val="auto"/>
          <w:sz w:val="32"/>
          <w:szCs w:val="32"/>
          <w:lang w:val="en-US" w:eastAsia="zh-CN" w:bidi="ar-SA"/>
        </w:rPr>
        <w:t>以《</w:t>
      </w:r>
      <w:r>
        <w:rPr>
          <w:rFonts w:hint="eastAsia" w:ascii="Times New Roman" w:hAnsi="Times New Roman" w:eastAsia="仿宋_GB2312" w:cs="Calibri"/>
          <w:color w:val="auto"/>
          <w:sz w:val="32"/>
          <w:szCs w:val="32"/>
          <w:highlight w:val="none"/>
          <w:lang w:val="en-US" w:eastAsia="zh-CN" w:bidi="ar-SA"/>
        </w:rPr>
        <w:t>柴胡店镇烈士陵园</w:t>
      </w:r>
      <w:r>
        <w:rPr>
          <w:rFonts w:hint="eastAsia" w:ascii="仿宋_GB2312" w:eastAsia="仿宋_GB2312"/>
          <w:sz w:val="32"/>
          <w:szCs w:val="32"/>
          <w:lang w:val="en-US" w:eastAsia="zh-CN"/>
        </w:rPr>
        <w:t>烈士纪念设施保护范围勘测定界图</w:t>
      </w:r>
      <w:r>
        <w:rPr>
          <w:rFonts w:hint="eastAsia" w:ascii="Times New Roman" w:hAnsi="Times New Roman" w:eastAsia="仿宋_GB2312" w:cs="Calibri"/>
          <w:color w:val="auto"/>
          <w:sz w:val="32"/>
          <w:szCs w:val="32"/>
          <w:lang w:val="en-US" w:eastAsia="zh-CN" w:bidi="ar-SA"/>
        </w:rPr>
        <w:t>》红线基准为界，</w:t>
      </w:r>
      <w:r>
        <w:rPr>
          <w:rFonts w:hint="eastAsia" w:ascii="Times New Roman" w:hAnsi="Times New Roman" w:eastAsia="仿宋_GB2312" w:cs="Calibri"/>
          <w:color w:val="auto"/>
          <w:sz w:val="32"/>
          <w:szCs w:val="32"/>
          <w:highlight w:val="none"/>
          <w:lang w:val="en-US" w:eastAsia="zh-CN" w:bidi="ar-SA"/>
        </w:rPr>
        <w:t>包含陵园，并以围墙起向外延伸，东向外</w:t>
      </w:r>
      <w:r>
        <w:rPr>
          <w:rFonts w:hint="eastAsia" w:ascii="仿宋_GB2312" w:hAnsi="宋体" w:eastAsia="仿宋_GB2312" w:cs="宋体"/>
          <w:color w:val="auto"/>
          <w:sz w:val="32"/>
          <w:szCs w:val="32"/>
          <w:highlight w:val="none"/>
          <w:lang w:val="en-US" w:eastAsia="zh-CN"/>
        </w:rPr>
        <w:t>延2米、西向外延2米、南向外延2米、北向外延2米，保护范围总面积5874平方米。</w:t>
      </w:r>
    </w:p>
    <w:p>
      <w:pPr>
        <w:keepNext w:val="0"/>
        <w:keepLines w:val="0"/>
        <w:pageBreakBefore w:val="0"/>
        <w:widowControl w:val="0"/>
        <w:kinsoku/>
        <w:wordWrap/>
        <w:overflowPunct w:val="0"/>
        <w:topLinePunct w:val="0"/>
        <w:autoSpaceDE w:val="0"/>
        <w:autoSpaceDN w:val="0"/>
        <w:bidi w:val="0"/>
        <w:adjustRightInd w:val="0"/>
        <w:snapToGrid/>
        <w:spacing w:line="600" w:lineRule="exact"/>
        <w:ind w:firstLine="640" w:firstLineChars="200"/>
        <w:textAlignment w:val="auto"/>
        <w:rPr>
          <w:rFonts w:hint="eastAsia" w:ascii="仿宋_GB2312" w:hAnsi="宋体" w:eastAsia="仿宋_GB2312" w:cs="宋体"/>
          <w:color w:val="auto"/>
          <w:sz w:val="32"/>
          <w:szCs w:val="32"/>
          <w:highlight w:val="none"/>
          <w:lang w:val="en-US" w:eastAsia="zh-CN"/>
        </w:rPr>
      </w:pPr>
      <w:r>
        <w:rPr>
          <w:rFonts w:hint="eastAsia" w:ascii="仿宋_GB2312" w:hAnsi="宋体" w:eastAsia="仿宋_GB2312" w:cs="宋体"/>
          <w:color w:val="auto"/>
          <w:sz w:val="32"/>
          <w:szCs w:val="32"/>
          <w:highlight w:val="none"/>
          <w:lang w:val="en-US" w:eastAsia="zh-CN"/>
        </w:rPr>
        <w:t>三、同意官桥镇烈士陵园保护范围，官桥镇丰山</w:t>
      </w:r>
      <w:r>
        <w:rPr>
          <w:rFonts w:hint="eastAsia" w:ascii="仿宋_GB2312" w:eastAsia="仿宋_GB2312"/>
          <w:sz w:val="32"/>
          <w:szCs w:val="32"/>
          <w:lang w:val="en-US" w:eastAsia="zh-CN"/>
        </w:rPr>
        <w:t>烈士陵园保护范围</w:t>
      </w:r>
      <w:r>
        <w:rPr>
          <w:rFonts w:hint="eastAsia" w:ascii="Times New Roman" w:hAnsi="Times New Roman" w:eastAsia="仿宋_GB2312" w:cs="Calibri"/>
          <w:color w:val="auto"/>
          <w:sz w:val="32"/>
          <w:szCs w:val="32"/>
          <w:lang w:val="en-US" w:eastAsia="zh-CN" w:bidi="ar-SA"/>
        </w:rPr>
        <w:t>以《</w:t>
      </w:r>
      <w:r>
        <w:rPr>
          <w:rFonts w:hint="eastAsia" w:ascii="仿宋_GB2312" w:hAnsi="宋体" w:eastAsia="仿宋_GB2312" w:cs="宋体"/>
          <w:color w:val="auto"/>
          <w:sz w:val="32"/>
          <w:szCs w:val="32"/>
          <w:highlight w:val="none"/>
          <w:lang w:val="en-US" w:eastAsia="zh-CN"/>
        </w:rPr>
        <w:t>官桥镇丰山</w:t>
      </w:r>
      <w:r>
        <w:rPr>
          <w:rFonts w:hint="eastAsia" w:ascii="Times New Roman" w:hAnsi="Times New Roman" w:eastAsia="仿宋_GB2312" w:cs="Calibri"/>
          <w:color w:val="auto"/>
          <w:sz w:val="32"/>
          <w:szCs w:val="32"/>
          <w:highlight w:val="none"/>
          <w:lang w:val="en-US" w:eastAsia="zh-CN" w:bidi="ar-SA"/>
        </w:rPr>
        <w:t>烈士陵园</w:t>
      </w:r>
      <w:r>
        <w:rPr>
          <w:rFonts w:hint="eastAsia" w:ascii="仿宋_GB2312" w:eastAsia="仿宋_GB2312"/>
          <w:sz w:val="32"/>
          <w:szCs w:val="32"/>
          <w:lang w:val="en-US" w:eastAsia="zh-CN"/>
        </w:rPr>
        <w:t>烈士纪念设施保护范围勘测定界图</w:t>
      </w:r>
      <w:r>
        <w:rPr>
          <w:rFonts w:hint="eastAsia" w:ascii="Times New Roman" w:hAnsi="Times New Roman" w:eastAsia="仿宋_GB2312" w:cs="Calibri"/>
          <w:color w:val="auto"/>
          <w:sz w:val="32"/>
          <w:szCs w:val="32"/>
          <w:lang w:val="en-US" w:eastAsia="zh-CN" w:bidi="ar-SA"/>
        </w:rPr>
        <w:t>》红线基准为界，</w:t>
      </w:r>
      <w:r>
        <w:rPr>
          <w:rFonts w:hint="eastAsia" w:ascii="仿宋_GB2312" w:hAnsi="宋体" w:eastAsia="仿宋_GB2312" w:cs="宋体"/>
          <w:color w:val="auto"/>
          <w:sz w:val="32"/>
          <w:szCs w:val="32"/>
          <w:highlight w:val="none"/>
          <w:lang w:val="en-US" w:eastAsia="zh-CN"/>
        </w:rPr>
        <w:t>包含陵园，并以围墙起向外延伸，东向外延2米、西向外延2米、南向外延2米、北向外延2米，保护范围总面积约2514多平方米。</w:t>
      </w:r>
    </w:p>
    <w:p>
      <w:pPr>
        <w:keepNext w:val="0"/>
        <w:keepLines w:val="0"/>
        <w:pageBreakBefore w:val="0"/>
        <w:widowControl w:val="0"/>
        <w:kinsoku/>
        <w:wordWrap/>
        <w:overflowPunct w:val="0"/>
        <w:topLinePunct w:val="0"/>
        <w:autoSpaceDE w:val="0"/>
        <w:autoSpaceDN w:val="0"/>
        <w:bidi w:val="0"/>
        <w:adjustRightInd w:val="0"/>
        <w:snapToGrid/>
        <w:spacing w:line="600" w:lineRule="exact"/>
        <w:ind w:firstLine="640" w:firstLineChars="200"/>
        <w:textAlignment w:val="auto"/>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lang w:val="en-US" w:eastAsia="zh-CN"/>
        </w:rPr>
        <w:t>四</w:t>
      </w:r>
      <w:r>
        <w:rPr>
          <w:rFonts w:hint="eastAsia" w:ascii="仿宋_GB2312" w:hAnsi="宋体" w:eastAsia="仿宋_GB2312" w:cs="宋体"/>
          <w:color w:val="auto"/>
          <w:sz w:val="32"/>
          <w:szCs w:val="32"/>
          <w:highlight w:val="none"/>
        </w:rPr>
        <w:t>、</w:t>
      </w:r>
      <w:r>
        <w:rPr>
          <w:rFonts w:hint="eastAsia" w:ascii="仿宋_GB2312" w:hAnsi="宋体" w:eastAsia="仿宋_GB2312" w:cs="宋体"/>
          <w:color w:val="auto"/>
          <w:sz w:val="32"/>
          <w:szCs w:val="32"/>
          <w:highlight w:val="none"/>
          <w:lang w:val="en-US" w:eastAsia="zh-CN"/>
        </w:rPr>
        <w:t>同意滨湖镇烈士陵园保护范围，滨湖镇</w:t>
      </w:r>
      <w:r>
        <w:rPr>
          <w:rFonts w:hint="eastAsia" w:ascii="仿宋_GB2312" w:eastAsia="仿宋_GB2312"/>
          <w:sz w:val="32"/>
          <w:szCs w:val="32"/>
          <w:lang w:val="en-US" w:eastAsia="zh-CN"/>
        </w:rPr>
        <w:t>烈士陵园保护范围</w:t>
      </w:r>
      <w:r>
        <w:rPr>
          <w:rFonts w:hint="eastAsia" w:ascii="Times New Roman" w:hAnsi="Times New Roman" w:eastAsia="仿宋_GB2312" w:cs="Calibri"/>
          <w:color w:val="auto"/>
          <w:sz w:val="32"/>
          <w:szCs w:val="32"/>
          <w:lang w:val="en-US" w:eastAsia="zh-CN" w:bidi="ar-SA"/>
        </w:rPr>
        <w:t>以《</w:t>
      </w:r>
      <w:r>
        <w:rPr>
          <w:rFonts w:hint="eastAsia" w:ascii="仿宋_GB2312" w:hAnsi="宋体" w:eastAsia="仿宋_GB2312" w:cs="宋体"/>
          <w:color w:val="auto"/>
          <w:sz w:val="32"/>
          <w:szCs w:val="32"/>
          <w:highlight w:val="none"/>
          <w:lang w:val="en-US" w:eastAsia="zh-CN"/>
        </w:rPr>
        <w:t>滨湖镇</w:t>
      </w:r>
      <w:r>
        <w:rPr>
          <w:rFonts w:hint="eastAsia" w:ascii="Times New Roman" w:hAnsi="Times New Roman" w:eastAsia="仿宋_GB2312" w:cs="Calibri"/>
          <w:color w:val="auto"/>
          <w:sz w:val="32"/>
          <w:szCs w:val="32"/>
          <w:highlight w:val="none"/>
          <w:lang w:val="en-US" w:eastAsia="zh-CN" w:bidi="ar-SA"/>
        </w:rPr>
        <w:t>烈士陵园</w:t>
      </w:r>
      <w:r>
        <w:rPr>
          <w:rFonts w:hint="eastAsia" w:ascii="仿宋_GB2312" w:eastAsia="仿宋_GB2312"/>
          <w:sz w:val="32"/>
          <w:szCs w:val="32"/>
          <w:lang w:val="en-US" w:eastAsia="zh-CN"/>
        </w:rPr>
        <w:t>烈士纪念设施保护范围勘测定界图</w:t>
      </w:r>
      <w:r>
        <w:rPr>
          <w:rFonts w:hint="eastAsia" w:ascii="Times New Roman" w:hAnsi="Times New Roman" w:eastAsia="仿宋_GB2312" w:cs="Calibri"/>
          <w:color w:val="auto"/>
          <w:sz w:val="32"/>
          <w:szCs w:val="32"/>
          <w:lang w:val="en-US" w:eastAsia="zh-CN" w:bidi="ar-SA"/>
        </w:rPr>
        <w:t>》红线基准为界，</w:t>
      </w:r>
      <w:r>
        <w:rPr>
          <w:rFonts w:hint="eastAsia" w:ascii="仿宋_GB2312" w:hAnsi="宋体" w:eastAsia="仿宋_GB2312" w:cs="宋体"/>
          <w:color w:val="auto"/>
          <w:sz w:val="32"/>
          <w:szCs w:val="32"/>
          <w:highlight w:val="none"/>
          <w:lang w:val="en-US" w:eastAsia="zh-CN"/>
        </w:rPr>
        <w:t>包含陵园，并以围墙起向外延伸，东向外延2米、西向外延2米、南向外延2米、北向外延2米，保护范围总面积787平方米。</w:t>
      </w:r>
    </w:p>
    <w:p>
      <w:pPr>
        <w:keepNext w:val="0"/>
        <w:keepLines w:val="0"/>
        <w:pageBreakBefore w:val="0"/>
        <w:widowControl w:val="0"/>
        <w:kinsoku/>
        <w:wordWrap/>
        <w:overflowPunct w:val="0"/>
        <w:topLinePunct w:val="0"/>
        <w:autoSpaceDE w:val="0"/>
        <w:autoSpaceDN w:val="0"/>
        <w:bidi w:val="0"/>
        <w:spacing w:line="600" w:lineRule="exact"/>
        <w:ind w:firstLine="640" w:firstLineChars="200"/>
        <w:textAlignment w:val="auto"/>
        <w:rPr>
          <w:rFonts w:hint="eastAsia" w:ascii="仿宋_GB2312" w:hAnsi="宋体" w:eastAsia="仿宋_GB2312" w:cs="宋体"/>
          <w:color w:val="auto"/>
          <w:sz w:val="32"/>
          <w:szCs w:val="32"/>
          <w:highlight w:val="none"/>
          <w:lang w:val="en-US" w:eastAsia="zh-CN"/>
        </w:rPr>
      </w:pPr>
      <w:r>
        <w:rPr>
          <w:rFonts w:hint="eastAsia" w:ascii="仿宋_GB2312" w:hAnsi="宋体" w:eastAsia="仿宋_GB2312" w:cs="宋体"/>
          <w:color w:val="auto"/>
          <w:sz w:val="32"/>
          <w:szCs w:val="32"/>
          <w:lang w:val="en-US" w:eastAsia="zh-CN"/>
        </w:rPr>
        <w:t>五、</w:t>
      </w:r>
      <w:r>
        <w:rPr>
          <w:rFonts w:hint="eastAsia" w:ascii="仿宋_GB2312" w:eastAsia="仿宋_GB2312"/>
          <w:color w:val="auto"/>
          <w:sz w:val="32"/>
          <w:szCs w:val="32"/>
        </w:rPr>
        <w:t>保护内容：任何单位或者个人不得破坏烈士纪念设施的完整性,不得侵占烈士纪念设施保护范围内的土地和设施;禁止在烈士纪念设施保护范围内进行其他工程建设;任何单位和个人不得在烈士纪念设施保护范围内为烈士以外的其他人修建纪念设施或者安放骨灰、埋葬遗体;在烈士纪念设施保护范围内不得从事与纪念烈士无关的活动，禁止以任何方式破坏，污损烈士纪念设施。非法侵占烈士纪念设施保护范围内的土地、设施，破坏、污损烈士纪念设施,或者在烈士纪念设施保护范围内为烈士以外其他人修建纪念设施、安放骨灰、埋葬遗体的，将视情节依法追究相应的法律责任。</w:t>
      </w:r>
    </w:p>
    <w:p>
      <w:pPr>
        <w:keepNext w:val="0"/>
        <w:keepLines w:val="0"/>
        <w:pageBreakBefore w:val="0"/>
        <w:widowControl w:val="0"/>
        <w:kinsoku/>
        <w:wordWrap/>
        <w:overflowPunct w:val="0"/>
        <w:topLinePunct w:val="0"/>
        <w:autoSpaceDE w:val="0"/>
        <w:autoSpaceDN w:val="0"/>
        <w:bidi w:val="0"/>
        <w:adjustRightInd w:val="0"/>
        <w:snapToGrid/>
        <w:spacing w:line="600" w:lineRule="exact"/>
        <w:ind w:firstLine="640" w:firstLineChars="200"/>
        <w:textAlignment w:val="auto"/>
        <w:rPr>
          <w:rFonts w:ascii="Times New Roman" w:hAnsi="Times New Roman" w:eastAsia="仿宋_GB2312"/>
          <w:color w:val="auto"/>
          <w:sz w:val="32"/>
          <w:szCs w:val="32"/>
        </w:rPr>
      </w:pPr>
      <w:r>
        <w:rPr>
          <w:rFonts w:hint="eastAsia" w:ascii="仿宋_GB2312" w:hAnsi="宋体" w:eastAsia="仿宋_GB2312" w:cs="宋体"/>
          <w:color w:val="auto"/>
          <w:sz w:val="32"/>
          <w:szCs w:val="32"/>
          <w:highlight w:val="none"/>
          <w:lang w:val="en-US" w:eastAsia="zh-CN"/>
        </w:rPr>
        <w:t>六</w:t>
      </w:r>
      <w:r>
        <w:rPr>
          <w:rFonts w:hint="eastAsia" w:ascii="仿宋_GB2312" w:hAnsi="宋体" w:eastAsia="仿宋_GB2312" w:cs="宋体"/>
          <w:color w:val="auto"/>
          <w:sz w:val="32"/>
          <w:szCs w:val="32"/>
          <w:highlight w:val="none"/>
          <w:lang w:eastAsia="zh-CN"/>
        </w:rPr>
        <w:t>、</w:t>
      </w:r>
      <w:r>
        <w:rPr>
          <w:rFonts w:hint="eastAsia" w:ascii="Times New Roman" w:hAnsi="Times New Roman" w:eastAsia="仿宋_GB2312" w:cs="Calibri"/>
          <w:color w:val="auto"/>
          <w:sz w:val="32"/>
          <w:szCs w:val="32"/>
          <w:lang w:val="en-US" w:eastAsia="zh-CN" w:bidi="ar-SA"/>
        </w:rPr>
        <w:t>你局要按照国家有关规定和方案严格落实保护内容，切实加强对烈士纪念设施的保护管理，保持烈士陵园庄重、肃穆、清净的环境和氛围，防止发生侵占保护范围内的土地和设施，破坏、污损烈士纪念设施等行为。</w:t>
      </w:r>
      <w:r>
        <w:rPr>
          <w:rFonts w:ascii="Times New Roman" w:hAnsi="Times New Roman" w:eastAsia="仿宋_GB2312"/>
          <w:color w:val="auto"/>
          <w:sz w:val="32"/>
          <w:szCs w:val="32"/>
        </w:rPr>
        <w:t xml:space="preserve">                                 </w:t>
      </w:r>
    </w:p>
    <w:p>
      <w:pPr>
        <w:keepNext w:val="0"/>
        <w:keepLines w:val="0"/>
        <w:pageBreakBefore w:val="0"/>
        <w:widowControl w:val="0"/>
        <w:kinsoku/>
        <w:wordWrap/>
        <w:topLinePunct w:val="0"/>
        <w:bidi w:val="0"/>
        <w:spacing w:line="600" w:lineRule="exact"/>
        <w:ind w:firstLine="640" w:firstLineChars="200"/>
        <w:jc w:val="center"/>
        <w:textAlignment w:val="auto"/>
        <w:rPr>
          <w:rFonts w:hint="eastAsia" w:ascii="Times New Roman" w:hAnsi="Times New Roman" w:eastAsia="仿宋_GB2312"/>
          <w:color w:val="auto"/>
          <w:sz w:val="32"/>
          <w:szCs w:val="32"/>
          <w:lang w:val="en-US" w:eastAsia="zh-CN"/>
        </w:rPr>
      </w:pPr>
      <w:r>
        <w:rPr>
          <w:rFonts w:hint="eastAsia" w:ascii="Times New Roman" w:hAnsi="Times New Roman" w:eastAsia="仿宋_GB2312"/>
          <w:color w:val="auto"/>
          <w:sz w:val="32"/>
          <w:szCs w:val="32"/>
          <w:lang w:val="en-US" w:eastAsia="zh-CN"/>
        </w:rPr>
        <w:t xml:space="preserve">          </w:t>
      </w:r>
    </w:p>
    <w:p>
      <w:pPr>
        <w:keepNext w:val="0"/>
        <w:keepLines w:val="0"/>
        <w:pageBreakBefore w:val="0"/>
        <w:widowControl w:val="0"/>
        <w:kinsoku/>
        <w:wordWrap/>
        <w:topLinePunct w:val="0"/>
        <w:bidi w:val="0"/>
        <w:spacing w:line="600" w:lineRule="exact"/>
        <w:ind w:firstLine="640" w:firstLineChars="200"/>
        <w:jc w:val="center"/>
        <w:textAlignment w:val="auto"/>
        <w:rPr>
          <w:rFonts w:hint="eastAsia" w:ascii="Times New Roman" w:hAnsi="Times New Roman" w:eastAsia="仿宋_GB2312"/>
          <w:color w:val="auto"/>
          <w:sz w:val="32"/>
          <w:szCs w:val="32"/>
          <w:lang w:val="en-US" w:eastAsia="zh-CN"/>
        </w:rPr>
      </w:pPr>
    </w:p>
    <w:p>
      <w:pPr>
        <w:keepNext w:val="0"/>
        <w:keepLines w:val="0"/>
        <w:pageBreakBefore w:val="0"/>
        <w:widowControl w:val="0"/>
        <w:kinsoku/>
        <w:wordWrap/>
        <w:topLinePunct w:val="0"/>
        <w:bidi w:val="0"/>
        <w:spacing w:line="600" w:lineRule="exact"/>
        <w:ind w:firstLine="640" w:firstLineChars="200"/>
        <w:jc w:val="center"/>
        <w:textAlignment w:val="auto"/>
        <w:rPr>
          <w:rFonts w:hint="eastAsia" w:ascii="Times New Roman" w:hAnsi="Times New Roman" w:eastAsia="仿宋_GB2312"/>
          <w:color w:val="auto"/>
          <w:sz w:val="32"/>
          <w:szCs w:val="32"/>
          <w:lang w:val="en-US" w:eastAsia="zh-CN"/>
        </w:rPr>
      </w:pPr>
    </w:p>
    <w:p>
      <w:pPr>
        <w:keepNext w:val="0"/>
        <w:keepLines w:val="0"/>
        <w:pageBreakBefore w:val="0"/>
        <w:widowControl w:val="0"/>
        <w:kinsoku/>
        <w:wordWrap/>
        <w:topLinePunct w:val="0"/>
        <w:bidi w:val="0"/>
        <w:spacing w:line="600" w:lineRule="exact"/>
        <w:ind w:firstLine="640" w:firstLineChars="200"/>
        <w:jc w:val="center"/>
        <w:textAlignment w:val="auto"/>
        <w:rPr>
          <w:rFonts w:ascii="Times New Roman" w:hAnsi="Times New Roman" w:eastAsia="仿宋_GB2312"/>
          <w:color w:val="auto"/>
          <w:sz w:val="32"/>
          <w:szCs w:val="32"/>
        </w:rPr>
      </w:pPr>
      <w:r>
        <w:rPr>
          <w:rFonts w:hint="eastAsia" w:ascii="Times New Roman" w:hAnsi="Times New Roman" w:eastAsia="仿宋_GB2312"/>
          <w:color w:val="auto"/>
          <w:sz w:val="32"/>
          <w:szCs w:val="32"/>
          <w:lang w:val="en-US" w:eastAsia="zh-CN"/>
        </w:rPr>
        <w:t xml:space="preserve">                    滕州市人民政府             </w:t>
      </w:r>
      <w:r>
        <w:rPr>
          <w:rFonts w:ascii="Times New Roman" w:hAnsi="Times New Roman" w:eastAsia="仿宋_GB2312"/>
          <w:color w:val="auto"/>
          <w:sz w:val="32"/>
          <w:szCs w:val="32"/>
        </w:rPr>
        <w:t xml:space="preserve"> </w:t>
      </w:r>
    </w:p>
    <w:p>
      <w:pPr>
        <w:keepNext w:val="0"/>
        <w:keepLines w:val="0"/>
        <w:pageBreakBefore w:val="0"/>
        <w:widowControl w:val="0"/>
        <w:kinsoku/>
        <w:wordWrap/>
        <w:topLinePunct w:val="0"/>
        <w:bidi w:val="0"/>
        <w:spacing w:line="600" w:lineRule="exact"/>
        <w:ind w:firstLine="640" w:firstLineChars="200"/>
        <w:jc w:val="center"/>
        <w:textAlignment w:val="auto"/>
        <w:rPr>
          <w:rFonts w:hint="eastAsia" w:ascii="仿宋_GB2312" w:hAnsi="Times New Roman" w:eastAsia="仿宋_GB2312"/>
          <w:color w:val="auto"/>
          <w:sz w:val="32"/>
          <w:szCs w:val="32"/>
          <w:lang w:val="en-US" w:eastAsia="zh-CN"/>
        </w:rPr>
      </w:pPr>
      <w:r>
        <w:rPr>
          <w:rFonts w:hint="eastAsia" w:ascii="Times New Roman" w:hAnsi="Times New Roman" w:eastAsia="仿宋_GB2312"/>
          <w:color w:val="auto"/>
          <w:sz w:val="32"/>
          <w:szCs w:val="32"/>
          <w:lang w:val="en-US" w:eastAsia="zh-CN"/>
        </w:rPr>
        <w:t xml:space="preserve">                 </w:t>
      </w:r>
      <w:r>
        <w:rPr>
          <w:rFonts w:hint="eastAsia" w:ascii="仿宋_GB2312" w:hAnsi="Times New Roman" w:eastAsia="仿宋_GB2312"/>
          <w:color w:val="auto"/>
          <w:sz w:val="32"/>
          <w:szCs w:val="32"/>
          <w:lang w:val="en-US" w:eastAsia="zh-CN"/>
        </w:rPr>
        <w:t xml:space="preserve">   2024年7月31日</w:t>
      </w:r>
      <w:bookmarkStart w:id="0" w:name="_GoBack"/>
      <w:bookmarkEnd w:id="0"/>
    </w:p>
    <w:p>
      <w:pPr>
        <w:keepNext w:val="0"/>
        <w:keepLines w:val="0"/>
        <w:pageBreakBefore w:val="0"/>
        <w:widowControl w:val="0"/>
        <w:kinsoku/>
        <w:wordWrap/>
        <w:topLinePunct w:val="0"/>
        <w:bidi w:val="0"/>
        <w:spacing w:line="600" w:lineRule="exact"/>
        <w:ind w:firstLine="640" w:firstLineChars="200"/>
        <w:jc w:val="center"/>
        <w:textAlignment w:val="auto"/>
        <w:rPr>
          <w:rFonts w:hint="eastAsia" w:ascii="仿宋_GB2312" w:hAnsi="Times New Roman" w:eastAsia="仿宋_GB2312"/>
          <w:color w:val="auto"/>
          <w:sz w:val="32"/>
          <w:szCs w:val="32"/>
          <w:lang w:val="en-US" w:eastAsia="zh-CN"/>
        </w:rPr>
      </w:pPr>
    </w:p>
    <w:p>
      <w:pPr>
        <w:keepNext w:val="0"/>
        <w:keepLines w:val="0"/>
        <w:pageBreakBefore w:val="0"/>
        <w:widowControl w:val="0"/>
        <w:kinsoku/>
        <w:wordWrap/>
        <w:topLinePunct w:val="0"/>
        <w:bidi w:val="0"/>
        <w:spacing w:line="600" w:lineRule="exact"/>
        <w:ind w:firstLine="640" w:firstLineChars="200"/>
        <w:jc w:val="center"/>
        <w:textAlignment w:val="auto"/>
        <w:rPr>
          <w:rFonts w:hint="eastAsia" w:ascii="仿宋_GB2312" w:hAnsi="Times New Roman" w:eastAsia="仿宋_GB2312"/>
          <w:color w:val="auto"/>
          <w:sz w:val="32"/>
          <w:szCs w:val="32"/>
          <w:lang w:val="en-US" w:eastAsia="zh-CN"/>
        </w:rPr>
      </w:pPr>
    </w:p>
    <w:p>
      <w:pPr>
        <w:keepNext w:val="0"/>
        <w:keepLines w:val="0"/>
        <w:pageBreakBefore w:val="0"/>
        <w:widowControl w:val="0"/>
        <w:kinsoku/>
        <w:wordWrap/>
        <w:topLinePunct w:val="0"/>
        <w:bidi w:val="0"/>
        <w:spacing w:line="600" w:lineRule="exact"/>
        <w:ind w:firstLine="640" w:firstLineChars="200"/>
        <w:jc w:val="center"/>
        <w:textAlignment w:val="auto"/>
        <w:rPr>
          <w:rFonts w:hint="eastAsia" w:ascii="仿宋_GB2312" w:hAnsi="Times New Roman" w:eastAsia="仿宋_GB2312"/>
          <w:color w:val="auto"/>
          <w:sz w:val="32"/>
          <w:szCs w:val="32"/>
          <w:lang w:val="en-US" w:eastAsia="zh-CN"/>
        </w:rPr>
      </w:pPr>
    </w:p>
    <w:p>
      <w:pPr>
        <w:keepNext w:val="0"/>
        <w:keepLines w:val="0"/>
        <w:pageBreakBefore w:val="0"/>
        <w:widowControl w:val="0"/>
        <w:kinsoku/>
        <w:wordWrap/>
        <w:topLinePunct w:val="0"/>
        <w:bidi w:val="0"/>
        <w:spacing w:line="600" w:lineRule="exact"/>
        <w:ind w:firstLine="640" w:firstLineChars="200"/>
        <w:jc w:val="center"/>
        <w:textAlignment w:val="auto"/>
        <w:rPr>
          <w:rFonts w:hint="eastAsia" w:ascii="仿宋_GB2312" w:hAnsi="Times New Roman" w:eastAsia="仿宋_GB2312"/>
          <w:color w:val="auto"/>
          <w:sz w:val="32"/>
          <w:szCs w:val="32"/>
          <w:lang w:val="en-US" w:eastAsia="zh-CN"/>
        </w:rPr>
      </w:pPr>
    </w:p>
    <w:p>
      <w:pPr>
        <w:keepNext w:val="0"/>
        <w:keepLines w:val="0"/>
        <w:pageBreakBefore w:val="0"/>
        <w:widowControl w:val="0"/>
        <w:kinsoku/>
        <w:wordWrap/>
        <w:topLinePunct w:val="0"/>
        <w:bidi w:val="0"/>
        <w:spacing w:line="600" w:lineRule="exact"/>
        <w:ind w:firstLine="640" w:firstLineChars="200"/>
        <w:jc w:val="center"/>
        <w:textAlignment w:val="auto"/>
        <w:rPr>
          <w:rFonts w:hint="eastAsia" w:ascii="仿宋_GB2312" w:hAnsi="Times New Roman" w:eastAsia="仿宋_GB2312"/>
          <w:color w:val="auto"/>
          <w:sz w:val="32"/>
          <w:szCs w:val="32"/>
          <w:lang w:val="en-US" w:eastAsia="zh-CN"/>
        </w:rPr>
      </w:pPr>
    </w:p>
    <w:p>
      <w:pPr>
        <w:keepNext w:val="0"/>
        <w:keepLines w:val="0"/>
        <w:pageBreakBefore w:val="0"/>
        <w:widowControl w:val="0"/>
        <w:kinsoku/>
        <w:wordWrap/>
        <w:topLinePunct w:val="0"/>
        <w:bidi w:val="0"/>
        <w:spacing w:line="600" w:lineRule="exact"/>
        <w:textAlignment w:val="auto"/>
      </w:pPr>
      <w:r>
        <w:rPr>
          <w:sz w:val="21"/>
        </w:rPr>
        <mc:AlternateContent>
          <mc:Choice Requires="wps">
            <w:drawing>
              <wp:anchor distT="0" distB="0" distL="114300" distR="114300" simplePos="0" relativeHeight="251659264" behindDoc="0" locked="0" layoutInCell="1" allowOverlap="1">
                <wp:simplePos x="0" y="0"/>
                <wp:positionH relativeFrom="column">
                  <wp:posOffset>1927225</wp:posOffset>
                </wp:positionH>
                <wp:positionV relativeFrom="paragraph">
                  <wp:posOffset>6536690</wp:posOffset>
                </wp:positionV>
                <wp:extent cx="1389380" cy="793750"/>
                <wp:effectExtent l="4445" t="4445" r="15875" b="20955"/>
                <wp:wrapNone/>
                <wp:docPr id="3" name="文本框 3"/>
                <wp:cNvGraphicFramePr/>
                <a:graphic xmlns:a="http://schemas.openxmlformats.org/drawingml/2006/main">
                  <a:graphicData uri="http://schemas.microsoft.com/office/word/2010/wordprocessingShape">
                    <wps:wsp>
                      <wps:cNvSpPr txBox="true"/>
                      <wps:spPr>
                        <a:xfrm>
                          <a:off x="3070225" y="9571990"/>
                          <a:ext cx="1389380" cy="79375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51.75pt;margin-top:514.7pt;height:62.5pt;width:109.4pt;z-index:251659264;mso-width-relative:page;mso-height-relative:page;" fillcolor="#FFFFFF [3201]" filled="t" stroked="t" coordsize="21600,21600" o:gfxdata="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FgAAAGRycy9QSwECFAAUAAAACACHTuJA&#10;wJI4WNoAAAANAQAADwAAAAAAAAABACAAAAA4AAAAZHJzL2Rvd25yZXYueG1sUEsBAhQAFAAAAAgA&#10;h07iQLWl5qhGAgAAiAQAAA4AAAAAAAAAAQAgAAAAPwEAAGRycy9lMm9Eb2MueG1sUEsFBgAAAAAG&#10;AAYAWQEAAPcFAAAAAA==&#10;">
                <v:fill on="t" focussize="0,0"/>
                <v:stroke weight="0.5pt" color="#FFFFFF [3212]" joinstyle="round"/>
                <v:imagedata o:title=""/>
                <o:lock v:ext="edit" aspectratio="f"/>
                <v:textbox>
                  <w:txbxContent>
                    <w:p/>
                  </w:txbxContent>
                </v:textbox>
              </v:shape>
            </w:pict>
          </mc:Fallback>
        </mc:AlternateConten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0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2"/>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hOTdlZTM2OTgyNGMzYmMyNzczM2I3YzViNGY0YTYifQ=="/>
  </w:docVars>
  <w:rsids>
    <w:rsidRoot w:val="00000000"/>
    <w:rsid w:val="03DA3038"/>
    <w:rsid w:val="0D4648AB"/>
    <w:rsid w:val="138F28CD"/>
    <w:rsid w:val="28C52950"/>
    <w:rsid w:val="29C82514"/>
    <w:rsid w:val="2B7F5F3F"/>
    <w:rsid w:val="381A6AD1"/>
    <w:rsid w:val="396303D0"/>
    <w:rsid w:val="39C50A6C"/>
    <w:rsid w:val="44EC4ED1"/>
    <w:rsid w:val="52F06249"/>
    <w:rsid w:val="670D26FD"/>
    <w:rsid w:val="6B4F5BCB"/>
    <w:rsid w:val="711A4ED7"/>
    <w:rsid w:val="7B9D0A82"/>
    <w:rsid w:val="FF4F71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sz w:val="21"/>
      <w:szCs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rPr>
      <w:sz w:val="24"/>
    </w:rPr>
  </w:style>
  <w:style w:type="paragraph" w:customStyle="1" w:styleId="7">
    <w:name w:val="正文首行缩进 21"/>
    <w:basedOn w:val="1"/>
    <w:qFormat/>
    <w:uiPriority w:val="0"/>
    <w:pPr>
      <w:ind w:left="420" w:leftChars="200" w:firstLine="420" w:firstLineChars="200"/>
    </w:pPr>
    <w:rPr>
      <w:rFonts w:ascii="Calibri" w:hAnsi="Calibri" w:eastAsia="宋体" w:cs="宋体"/>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994</Words>
  <Characters>1022</Characters>
  <Lines>0</Lines>
  <Paragraphs>0</Paragraphs>
  <TotalTime>10</TotalTime>
  <ScaleCrop>false</ScaleCrop>
  <LinksUpToDate>false</LinksUpToDate>
  <CharactersWithSpaces>1142</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2024-07-26T15:26:00Z</dcterms:created>
  <dc:creator>admin</dc:creator>
  <cp:lastModifiedBy>user</cp:lastModifiedBy>
  <cp:lastPrinted>2024-07-31T10:58:00Z</cp:lastPrinted>
  <dcterms:modified xsi:type="dcterms:W3CDTF">2024-07-31T16:46:33Z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B231AD4F14F54C088EA46DF99FA074EF_12</vt:lpwstr>
  </property>
</Properties>
</file>